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匡妮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eastAsia" w:eastAsiaTheme="minorEastAsia"/>
                <w:vertAlign w:val="baseline"/>
                <w:lang w:eastAsia="zh-CN"/>
              </w:rPr>
            </w:pPr>
            <w:r>
              <w:rPr>
                <w:rFonts w:hint="eastAsia"/>
                <w:vertAlign w:val="baseline"/>
                <w:lang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1998.08</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2022.01</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 无</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eastAsia"/>
                <w:vertAlign w:val="baseline"/>
                <w:lang w:eastAsia="zh-CN"/>
              </w:rPr>
            </w:pPr>
            <w:r>
              <w:rPr>
                <w:rFonts w:hint="eastAsia"/>
                <w:vertAlign w:val="baseline"/>
                <w:lang w:eastAsia="zh-CN"/>
              </w:rPr>
              <w:t>无</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中国语言文学</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eastAsia"/>
                <w:vertAlign w:val="baseline"/>
                <w:lang w:eastAsia="zh-CN"/>
              </w:rPr>
            </w:pPr>
            <w:r>
              <w:rPr>
                <w:rFonts w:hint="eastAsia"/>
                <w:vertAlign w:val="baseline"/>
                <w:lang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2012年9月，就读于衡阳市第八中学，高中毕业；</w:t>
            </w:r>
          </w:p>
          <w:p>
            <w:pPr>
              <w:widowControl w:val="0"/>
              <w:numPr>
                <w:ilvl w:val="0"/>
                <w:numId w:val="0"/>
              </w:numPr>
              <w:jc w:val="both"/>
              <w:rPr>
                <w:rFonts w:hint="eastAsia"/>
                <w:vertAlign w:val="baseline"/>
                <w:lang w:val="en-US" w:eastAsia="zh-CN"/>
              </w:rPr>
            </w:pPr>
            <w:r>
              <w:rPr>
                <w:rFonts w:hint="eastAsia"/>
                <w:vertAlign w:val="baseline"/>
                <w:lang w:val="en-US" w:eastAsia="zh-CN"/>
              </w:rPr>
              <w:t>2015年9月，就读于怀化学院文学与新闻传播学院广播电视学专业，取得大学本科学士学位。</w:t>
            </w: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jc w:val="both"/>
              <w:rPr>
                <w:rFonts w:hint="default"/>
                <w:vertAlign w:val="baseline"/>
                <w:lang w:val="en-US" w:eastAsia="zh-CN"/>
              </w:rPr>
            </w:pPr>
            <w:r>
              <w:rPr>
                <w:rFonts w:hint="eastAsia"/>
                <w:vertAlign w:val="baseline"/>
                <w:lang w:val="en-US" w:eastAsia="zh-CN"/>
              </w:rPr>
              <w:t>2022年1月，衡阳开放大学，教师、办公室新闻宣传干事。</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大学本科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学士学位</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六级</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vertAlign w:val="baseline"/>
                <w:lang w:val="en-US" w:eastAsia="zh-CN"/>
              </w:rPr>
              <w:t>二级</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2022年度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2023年度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2023年度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jc w:val="center"/>
              <w:rPr>
                <w:rFonts w:hint="default"/>
                <w:vertAlign w:val="baseline"/>
                <w:lang w:val="en-US" w:eastAsia="zh-CN"/>
              </w:rPr>
            </w:pPr>
            <w:r>
              <w:rPr>
                <w:rFonts w:hint="eastAsia"/>
                <w:vertAlign w:val="baseline"/>
                <w:lang w:val="en-US" w:eastAsia="zh-CN"/>
              </w:rPr>
              <w:t>作为青年教师，在课堂教学中渗透课程思政，做到课程思政和专业思政两者同向同行；并且密切关注学生的日常生活和学习情况，实现立德树人、德技并修。</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pPr>
              <w:numPr>
                <w:ilvl w:val="0"/>
                <w:numId w:val="0"/>
              </w:numPr>
              <w:jc w:val="both"/>
              <w:rPr>
                <w:rFonts w:hint="eastAsia" w:eastAsiaTheme="minorEastAsia"/>
                <w:sz w:val="21"/>
                <w:szCs w:val="21"/>
                <w:lang w:val="en-US" w:eastAsia="zh-CN"/>
              </w:rPr>
            </w:pPr>
            <w:r>
              <w:rPr>
                <w:rFonts w:hint="eastAsia"/>
                <w:vertAlign w:val="baseline"/>
                <w:lang w:val="en-US" w:eastAsia="zh-CN"/>
              </w:rPr>
              <w:t>1.</w:t>
            </w:r>
            <w:r>
              <w:rPr>
                <w:rFonts w:hint="eastAsia" w:ascii="宋体" w:hAnsi="宋体"/>
              </w:rPr>
              <w:t>获评2022 年度湖南省教育新闻宣传工作优秀个人</w:t>
            </w:r>
            <w:r>
              <w:rPr>
                <w:rFonts w:hint="eastAsia" w:ascii="宋体" w:hAnsi="宋体"/>
                <w:lang w:val="en-US" w:eastAsia="zh-CN"/>
              </w:rPr>
              <w:t>.</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3"/>
            <w:vMerge w:val="restart"/>
            <w:vAlign w:val="center"/>
          </w:tcPr>
          <w:p>
            <w:pPr>
              <w:numPr>
                <w:ilvl w:val="0"/>
                <w:numId w:val="0"/>
              </w:numPr>
              <w:jc w:val="left"/>
              <w:rPr>
                <w:rFonts w:hint="eastAsia"/>
                <w:vertAlign w:val="baseline"/>
                <w:lang w:val="en-US" w:eastAsia="zh-CN"/>
              </w:rPr>
            </w:pPr>
            <w:r>
              <w:rPr>
                <w:rFonts w:hint="eastAsia"/>
                <w:vertAlign w:val="baseline"/>
                <w:lang w:val="en-US" w:eastAsia="zh-CN"/>
              </w:rPr>
              <w:t>1.在校教授中国语言文学专业相关课程</w:t>
            </w:r>
            <w:bookmarkStart w:id="0" w:name="_GoBack"/>
            <w:bookmarkEnd w:id="0"/>
            <w:r>
              <w:rPr>
                <w:rFonts w:hint="eastAsia"/>
                <w:vertAlign w:val="baseline"/>
                <w:lang w:val="en-US" w:eastAsia="zh-CN"/>
              </w:rPr>
              <w:t>；</w:t>
            </w:r>
          </w:p>
          <w:p>
            <w:pPr>
              <w:numPr>
                <w:ilvl w:val="0"/>
                <w:numId w:val="0"/>
              </w:numPr>
              <w:jc w:val="left"/>
              <w:rPr>
                <w:rFonts w:hint="default"/>
                <w:vertAlign w:val="baseline"/>
                <w:lang w:val="en-US" w:eastAsia="zh-CN"/>
              </w:rPr>
            </w:pPr>
            <w:r>
              <w:rPr>
                <w:rFonts w:hint="eastAsia"/>
                <w:vertAlign w:val="baseline"/>
                <w:lang w:val="en-US" w:eastAsia="zh-CN"/>
              </w:rPr>
              <w:t>2.作为青年教师，在课堂教学中渗透课程思政，做到课程思政和专业思政两者同向同行；并且密切关注学生的日常生活和学习情况，实现立德树人、德技并修.</w:t>
            </w: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pPr>
              <w:ind w:firstLine="420" w:firstLineChars="200"/>
              <w:jc w:val="center"/>
            </w:pPr>
          </w:p>
        </w:tc>
        <w:tc>
          <w:tcPr>
            <w:tcW w:w="5814" w:type="dxa"/>
            <w:gridSpan w:val="3"/>
            <w:vMerge w:val="continue"/>
            <w:vAlign w:val="center"/>
          </w:tcPr>
          <w:p>
            <w:pPr>
              <w:jc w:val="both"/>
            </w:pPr>
          </w:p>
        </w:tc>
        <w:tc>
          <w:tcPr>
            <w:tcW w:w="1506" w:type="dxa"/>
            <w:vMerge w:val="restart"/>
            <w:vAlign w:val="center"/>
          </w:tcPr>
          <w:p>
            <w:pPr>
              <w:jc w:val="center"/>
              <w:rPr>
                <w:rFonts w:hint="default" w:eastAsiaTheme="minorEastAsia"/>
                <w:lang w:val="en-US" w:eastAsia="zh-CN"/>
              </w:rPr>
            </w:pPr>
          </w:p>
        </w:tc>
        <w:tc>
          <w:tcPr>
            <w:tcW w:w="1986" w:type="dxa"/>
            <w:vMerge w:val="restart"/>
            <w:vAlign w:val="center"/>
          </w:tcPr>
          <w:p>
            <w:pPr>
              <w:jc w:val="center"/>
              <w:rPr>
                <w:rFonts w:hint="default" w:eastAsiaTheme="minorEastAsia"/>
                <w:lang w:val="en-US" w:eastAsia="zh-CN"/>
              </w:rPr>
            </w:pPr>
          </w:p>
        </w:tc>
        <w:tc>
          <w:tcPr>
            <w:tcW w:w="2272" w:type="dxa"/>
            <w:vMerge w:val="restart"/>
            <w:vAlign w:val="center"/>
          </w:tcPr>
          <w:p>
            <w:pPr>
              <w:jc w:val="center"/>
              <w:rPr>
                <w:rFonts w:hint="default" w:eastAsiaTheme="minorEastAsia"/>
                <w:lang w:val="en-US" w:eastAsia="zh-CN"/>
              </w:rPr>
            </w:pPr>
          </w:p>
        </w:tc>
        <w:tc>
          <w:tcPr>
            <w:tcW w:w="1643" w:type="dxa"/>
            <w:vMerge w:val="restart"/>
            <w:vAlign w:val="center"/>
          </w:tcPr>
          <w:p>
            <w:pPr>
              <w:jc w:val="center"/>
              <w:rPr>
                <w:rFonts w:hint="default" w:eastAsiaTheme="minorEastAsia"/>
                <w:lang w:val="en-US" w:eastAsia="zh-CN"/>
              </w:rP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25" w:type="dxa"/>
            <w:vMerge w:val="continue"/>
            <w:vAlign w:val="center"/>
          </w:tcPr>
          <w:p>
            <w:pPr>
              <w:ind w:firstLine="420" w:firstLineChars="200"/>
              <w:jc w:val="center"/>
            </w:pPr>
          </w:p>
        </w:tc>
        <w:tc>
          <w:tcPr>
            <w:tcW w:w="2907" w:type="dxa"/>
            <w:gridSpan w:val="2"/>
            <w:vMerge w:val="restart"/>
            <w:vAlign w:val="center"/>
          </w:tcPr>
          <w:p>
            <w:pPr>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pPr>
              <w:jc w:val="left"/>
              <w:rPr>
                <w:rFonts w:hint="default"/>
                <w:sz w:val="18"/>
                <w:szCs w:val="21"/>
                <w:lang w:val="en"/>
              </w:rPr>
            </w:pPr>
          </w:p>
        </w:tc>
        <w:tc>
          <w:tcPr>
            <w:tcW w:w="1506" w:type="dxa"/>
            <w:vMerge w:val="continue"/>
            <w:tcBorders/>
            <w:vAlign w:val="center"/>
          </w:tcPr>
          <w:p>
            <w:pPr>
              <w:jc w:val="center"/>
              <w:rPr>
                <w:rFonts w:hint="default" w:eastAsiaTheme="minorEastAsia"/>
                <w:lang w:val="en-US" w:eastAsia="zh-CN"/>
              </w:rPr>
            </w:pPr>
          </w:p>
        </w:tc>
        <w:tc>
          <w:tcPr>
            <w:tcW w:w="1986" w:type="dxa"/>
            <w:vMerge w:val="continue"/>
            <w:tcBorders/>
            <w:vAlign w:val="center"/>
          </w:tcPr>
          <w:p>
            <w:pPr>
              <w:jc w:val="center"/>
              <w:rPr>
                <w:rFonts w:hint="default" w:eastAsiaTheme="minorEastAsia"/>
                <w:lang w:val="en-US" w:eastAsia="zh-CN"/>
              </w:rPr>
            </w:pPr>
          </w:p>
        </w:tc>
        <w:tc>
          <w:tcPr>
            <w:tcW w:w="2272" w:type="dxa"/>
            <w:vMerge w:val="continue"/>
            <w:tcBorders/>
            <w:vAlign w:val="center"/>
          </w:tcPr>
          <w:p>
            <w:pPr>
              <w:jc w:val="center"/>
              <w:rPr>
                <w:rFonts w:hint="default" w:eastAsiaTheme="minorEastAsia"/>
                <w:lang w:val="en-US" w:eastAsia="zh-CN"/>
              </w:rPr>
            </w:pPr>
          </w:p>
        </w:tc>
        <w:tc>
          <w:tcPr>
            <w:tcW w:w="1643" w:type="dxa"/>
            <w:vMerge w:val="continue"/>
            <w:tcBorders/>
            <w:vAlign w:val="center"/>
          </w:tcPr>
          <w:p>
            <w:pPr>
              <w:jc w:val="center"/>
              <w:rPr>
                <w:rFonts w:hint="default" w:eastAsiaTheme="minorEastAsia"/>
                <w:lang w:val="en-US" w:eastAsia="zh-CN"/>
              </w:rP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pPr>
              <w:ind w:firstLine="420" w:firstLineChars="200"/>
              <w:jc w:val="center"/>
            </w:pPr>
          </w:p>
        </w:tc>
        <w:tc>
          <w:tcPr>
            <w:tcW w:w="2907" w:type="dxa"/>
            <w:gridSpan w:val="2"/>
            <w:vMerge w:val="continue"/>
            <w:vAlign w:val="center"/>
          </w:tcPr>
          <w:p>
            <w:pPr>
              <w:ind w:firstLine="420" w:firstLineChars="200"/>
              <w:jc w:val="center"/>
            </w:pPr>
          </w:p>
        </w:tc>
        <w:tc>
          <w:tcPr>
            <w:tcW w:w="2907" w:type="dxa"/>
            <w:vMerge w:val="continue"/>
            <w:vAlign w:val="center"/>
          </w:tcPr>
          <w:p>
            <w:pPr>
              <w:ind w:firstLine="420" w:firstLineChars="200"/>
              <w:jc w:val="center"/>
            </w:pPr>
          </w:p>
        </w:tc>
        <w:tc>
          <w:tcPr>
            <w:tcW w:w="1506" w:type="dxa"/>
            <w:vAlign w:val="center"/>
          </w:tcPr>
          <w:p>
            <w:pPr>
              <w:ind w:firstLine="210" w:firstLineChars="100"/>
              <w:jc w:val="both"/>
              <w:rPr>
                <w:rFonts w:hint="eastAsia"/>
                <w:lang w:val="en-US" w:eastAsia="zh-CN"/>
              </w:rPr>
            </w:pPr>
          </w:p>
        </w:tc>
        <w:tc>
          <w:tcPr>
            <w:tcW w:w="1986" w:type="dxa"/>
            <w:vAlign w:val="center"/>
          </w:tcPr>
          <w:p>
            <w:pPr>
              <w:ind w:firstLine="420" w:firstLineChars="200"/>
              <w:jc w:val="both"/>
              <w:rPr>
                <w:rFonts w:hint="default"/>
                <w:lang w:val="en" w:eastAsia="zh-CN"/>
              </w:rPr>
            </w:pPr>
          </w:p>
        </w:tc>
        <w:tc>
          <w:tcPr>
            <w:tcW w:w="2272" w:type="dxa"/>
            <w:vAlign w:val="center"/>
          </w:tcPr>
          <w:p>
            <w:pPr>
              <w:jc w:val="center"/>
              <w:rPr>
                <w:rFonts w:hint="default"/>
                <w:lang w:val="en" w:eastAsia="zh-CN"/>
              </w:rPr>
            </w:pPr>
          </w:p>
        </w:tc>
        <w:tc>
          <w:tcPr>
            <w:tcW w:w="1643" w:type="dxa"/>
            <w:vAlign w:val="center"/>
          </w:tcPr>
          <w:p>
            <w:pPr>
              <w:jc w:val="center"/>
              <w:rPr>
                <w:rFonts w:hint="default"/>
                <w:lang w:val="en" w:eastAsia="zh-CN"/>
              </w:rPr>
            </w:pPr>
          </w:p>
        </w:tc>
        <w:tc>
          <w:tcPr>
            <w:tcW w:w="871" w:type="dxa"/>
            <w:vMerge w:val="continue"/>
          </w:tcPr>
          <w:p>
            <w:pPr>
              <w:ind w:firstLine="420" w:firstLineChars="200"/>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7"/>
            <w:vAlign w:val="center"/>
          </w:tcPr>
          <w:p>
            <w:pPr>
              <w:numPr>
                <w:ilvl w:val="0"/>
                <w:numId w:val="0"/>
              </w:numPr>
              <w:jc w:val="left"/>
              <w:rPr>
                <w:rFonts w:hint="eastAsia"/>
                <w:b w:val="0"/>
                <w:bCs w:val="0"/>
                <w:vertAlign w:val="baseline"/>
                <w:lang w:val="en-US" w:eastAsia="zh-CN"/>
              </w:rPr>
            </w:pPr>
            <w:r>
              <w:rPr>
                <w:rFonts w:hint="eastAsia"/>
                <w:b w:val="0"/>
                <w:bCs w:val="0"/>
                <w:vertAlign w:val="baseline"/>
                <w:lang w:val="en-US" w:eastAsia="zh-CN"/>
              </w:rPr>
              <w:t>1.202</w:t>
            </w:r>
            <w:r>
              <w:rPr>
                <w:rFonts w:hint="default"/>
                <w:b w:val="0"/>
                <w:bCs w:val="0"/>
                <w:vertAlign w:val="baseline"/>
                <w:lang w:val="en" w:eastAsia="zh-CN"/>
              </w:rPr>
              <w:t>2</w:t>
            </w:r>
            <w:r>
              <w:rPr>
                <w:rFonts w:hint="eastAsia"/>
                <w:b w:val="0"/>
                <w:bCs w:val="0"/>
                <w:vertAlign w:val="baseline"/>
                <w:lang w:val="en-US" w:eastAsia="zh-CN"/>
              </w:rPr>
              <w:t>年1月，开放大学教师，满</w:t>
            </w:r>
            <w:r>
              <w:rPr>
                <w:rFonts w:hint="default"/>
                <w:b w:val="0"/>
                <w:bCs w:val="0"/>
                <w:vertAlign w:val="baseline"/>
                <w:lang w:val="en" w:eastAsia="zh-CN"/>
              </w:rPr>
              <w:t>2</w:t>
            </w:r>
            <w:r>
              <w:rPr>
                <w:rFonts w:hint="eastAsia"/>
                <w:b w:val="0"/>
                <w:bCs w:val="0"/>
                <w:vertAlign w:val="baseline"/>
                <w:lang w:val="en-US" w:eastAsia="zh-CN"/>
              </w:rPr>
              <w:t>年；</w:t>
            </w:r>
          </w:p>
          <w:p>
            <w:pPr>
              <w:numPr>
                <w:ilvl w:val="0"/>
                <w:numId w:val="0"/>
              </w:numPr>
              <w:jc w:val="left"/>
              <w:rPr>
                <w:rFonts w:hint="default"/>
                <w:b w:val="0"/>
                <w:bCs w:val="0"/>
                <w:vertAlign w:val="baseline"/>
                <w:lang w:val="en-US" w:eastAsia="zh-CN"/>
              </w:rPr>
            </w:pPr>
            <w:r>
              <w:rPr>
                <w:rFonts w:hint="eastAsia"/>
                <w:b w:val="0"/>
                <w:bCs w:val="0"/>
                <w:vertAlign w:val="baseline"/>
                <w:lang w:val="en-US" w:eastAsia="zh-CN"/>
              </w:rPr>
              <w:t>2.</w:t>
            </w:r>
            <w:r>
              <w:rPr>
                <w:rFonts w:hint="default"/>
                <w:b w:val="0"/>
                <w:bCs w:val="0"/>
                <w:vertAlign w:val="baseline"/>
                <w:lang w:val="en-US" w:eastAsia="zh-CN"/>
              </w:rPr>
              <w:t>湖南省教师信息技术应用能力提升工程2.0考核等级评定合格，湖南省教育厅中小学教师信息技术应用能力提升工程领导小组办公室，2023年</w:t>
            </w:r>
            <w:r>
              <w:rPr>
                <w:rFonts w:hint="eastAsia"/>
                <w:b w:val="0"/>
                <w:bCs w:val="0"/>
                <w:vertAlign w:val="baseline"/>
                <w:lang w:val="en-US" w:eastAsia="zh-CN"/>
              </w:rPr>
              <w:t>.</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pPr>
              <w:jc w:val="both"/>
              <w:rPr>
                <w:rFonts w:hint="eastAsia"/>
                <w:vertAlign w:val="baseline"/>
                <w:lang w:val="en-US" w:eastAsia="zh-CN"/>
              </w:rPr>
            </w:pPr>
            <w:r>
              <w:rPr>
                <w:rFonts w:hint="eastAsia"/>
                <w:vertAlign w:val="baseline"/>
                <w:lang w:val="en-US" w:eastAsia="zh-CN"/>
              </w:rPr>
              <w:t>无</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pPr>
              <w:jc w:val="both"/>
              <w:rPr>
                <w:rFonts w:hint="eastAsia"/>
                <w:vertAlign w:val="baseline"/>
                <w:lang w:val="en-US" w:eastAsia="zh-CN"/>
              </w:rPr>
            </w:pPr>
            <w:r>
              <w:rPr>
                <w:rFonts w:hint="eastAsia"/>
                <w:vertAlign w:val="baseline"/>
                <w:lang w:val="en-US" w:eastAsia="zh-CN"/>
              </w:rPr>
              <w:t>无</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7"/>
            <w:vAlign w:val="center"/>
          </w:tcPr>
          <w:p>
            <w:pPr>
              <w:jc w:val="both"/>
              <w:rPr>
                <w:rFonts w:hint="default"/>
                <w:vertAlign w:val="baseline"/>
                <w:lang w:val="en-US" w:eastAsia="zh-CN"/>
              </w:rPr>
            </w:pPr>
            <w:r>
              <w:rPr>
                <w:rFonts w:hint="eastAsia"/>
                <w:vertAlign w:val="baseline"/>
                <w:lang w:val="en-US" w:eastAsia="zh-CN"/>
              </w:rPr>
              <w:t>1.双师双能型教师条件选项第2条：匡妮，于2023年参加湖南省教师信息技术应用能力提升工程2.0项目，已通过考核，成绩合格，取得证书.</w:t>
            </w: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公文小标宋">
    <w:altName w:val="方正小标宋_GBK"/>
    <w:panose1 w:val="02000500000000000000"/>
    <w:charset w:val="86"/>
    <w:family w:val="auto"/>
    <w:pitch w:val="default"/>
    <w:sig w:usb0="00000000" w:usb1="00000000"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default"/>
        <w:sz w:val="30"/>
        <w:szCs w:val="30"/>
        <w:u w:val="single"/>
        <w:lang w:val="en" w:eastAsia="zh-CN"/>
      </w:rPr>
      <w:t>衡阳开放大学</w:t>
    </w:r>
    <w:r>
      <w:rPr>
        <w:rFonts w:hint="eastAsia"/>
        <w:sz w:val="30"/>
        <w:szCs w:val="30"/>
        <w:u w:val="none"/>
        <w:lang w:val="en-US" w:eastAsia="zh-CN"/>
      </w:rPr>
      <w:t xml:space="preserve">  </w:t>
    </w:r>
    <w:r>
      <w:rPr>
        <w:rFonts w:hint="eastAsia"/>
        <w:sz w:val="30"/>
        <w:szCs w:val="30"/>
        <w:lang w:eastAsia="zh-CN"/>
      </w:rPr>
      <w:t>姓名：</w:t>
    </w:r>
    <w:r>
      <w:rPr>
        <w:rFonts w:hint="default"/>
        <w:sz w:val="30"/>
        <w:szCs w:val="30"/>
        <w:u w:val="single"/>
        <w:lang w:val="en" w:eastAsia="zh-CN"/>
      </w:rPr>
      <w:t>匡妮</w:t>
    </w:r>
    <w:r>
      <w:rPr>
        <w:rFonts w:hint="eastAsia"/>
        <w:sz w:val="30"/>
        <w:szCs w:val="30"/>
        <w:u w:val="none"/>
        <w:lang w:val="en-US" w:eastAsia="zh-CN"/>
      </w:rPr>
      <w:t xml:space="preserve">  申报职称：</w:t>
    </w:r>
    <w:r>
      <w:rPr>
        <w:rFonts w:hint="eastAsia"/>
        <w:sz w:val="30"/>
        <w:szCs w:val="30"/>
        <w:u w:val="single"/>
        <w:lang w:val="en-US" w:eastAsia="zh-CN"/>
      </w:rPr>
      <w:t>助教</w:t>
    </w:r>
    <w:r>
      <w:rPr>
        <w:rFonts w:hint="eastAsia"/>
        <w:sz w:val="30"/>
        <w:szCs w:val="30"/>
        <w:u w:val="none"/>
        <w:lang w:val="en-US" w:eastAsia="zh-CN"/>
      </w:rPr>
      <w:t xml:space="preserve">  学科（专业）：</w:t>
    </w:r>
    <w:r>
      <w:rPr>
        <w:rFonts w:hint="default"/>
        <w:sz w:val="30"/>
        <w:szCs w:val="30"/>
        <w:u w:val="single"/>
        <w:lang w:val="en" w:eastAsia="zh-CN"/>
      </w:rPr>
      <w:t>中国语言文学</w:t>
    </w:r>
    <w:r>
      <w:rPr>
        <w:rFonts w:hint="eastAsia"/>
        <w:sz w:val="30"/>
        <w:szCs w:val="30"/>
        <w:u w:val="none"/>
        <w:lang w:val="en-US" w:eastAsia="zh-CN"/>
      </w:rPr>
      <w:t xml:space="preserve">  申报类别：</w:t>
    </w:r>
    <w:r>
      <w:rPr>
        <w:rFonts w:hint="eastAsia"/>
        <w:sz w:val="30"/>
        <w:szCs w:val="30"/>
        <w:u w:val="single"/>
        <w:lang w:val="en-US" w:eastAsia="zh-CN"/>
      </w:rPr>
      <w:t xml:space="preserve">高校教师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DFkYzI1NGY5ODcyNGJiNzU3Y2IxNDFjZWRmZWMifQ=="/>
  </w:docVars>
  <w:rsids>
    <w:rsidRoot w:val="56A9350E"/>
    <w:rsid w:val="038340E2"/>
    <w:rsid w:val="0786286D"/>
    <w:rsid w:val="08346622"/>
    <w:rsid w:val="09B371A0"/>
    <w:rsid w:val="0B2E2A96"/>
    <w:rsid w:val="110D3F66"/>
    <w:rsid w:val="11752C0E"/>
    <w:rsid w:val="14340FF0"/>
    <w:rsid w:val="15BE749A"/>
    <w:rsid w:val="18300B23"/>
    <w:rsid w:val="18D41D66"/>
    <w:rsid w:val="19F26FDA"/>
    <w:rsid w:val="1A375F62"/>
    <w:rsid w:val="1BA2405D"/>
    <w:rsid w:val="1BA37753"/>
    <w:rsid w:val="1CAE5116"/>
    <w:rsid w:val="225E739B"/>
    <w:rsid w:val="230F5B30"/>
    <w:rsid w:val="27B23302"/>
    <w:rsid w:val="29456345"/>
    <w:rsid w:val="2D0F0096"/>
    <w:rsid w:val="2E3864F6"/>
    <w:rsid w:val="2F367CE8"/>
    <w:rsid w:val="31CE41CD"/>
    <w:rsid w:val="325771B0"/>
    <w:rsid w:val="357C6EC6"/>
    <w:rsid w:val="3AA06FEA"/>
    <w:rsid w:val="400006D7"/>
    <w:rsid w:val="42EF4FB3"/>
    <w:rsid w:val="48AF3B53"/>
    <w:rsid w:val="4BEBB3D3"/>
    <w:rsid w:val="4C1E4889"/>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33FC0DC"/>
    <w:rsid w:val="78EC7D02"/>
    <w:rsid w:val="797B7AD9"/>
    <w:rsid w:val="7A79575C"/>
    <w:rsid w:val="7C174657"/>
    <w:rsid w:val="7D60611C"/>
    <w:rsid w:val="7E553215"/>
    <w:rsid w:val="7F6075D3"/>
    <w:rsid w:val="E72B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855</Words>
  <Characters>920</Characters>
  <Lines>0</Lines>
  <Paragraphs>0</Paragraphs>
  <TotalTime>7</TotalTime>
  <ScaleCrop>false</ScaleCrop>
  <LinksUpToDate>false</LinksUpToDate>
  <CharactersWithSpaces>928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2023-06-01T22:58:00Z</dcterms:created>
  <dc:creator>谭晗婧</dc:creator>
  <cp:lastModifiedBy>kylin</cp:lastModifiedBy>
  <cp:lastPrinted>2024-10-16T19:21:00Z</cp:lastPrinted>
  <dcterms:modified xsi:type="dcterms:W3CDTF">2024-10-21T17:10:19Z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6677F540FB174A2EB7F8C92E8746C366_13</vt:lpwstr>
  </property>
</Properties>
</file>